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60" w:type="dxa"/>
        <w:jc w:val="center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0"/>
        <w:gridCol w:w="2867"/>
        <w:gridCol w:w="2340"/>
        <w:gridCol w:w="2623"/>
      </w:tblGrid>
      <w:tr w:rsidR="00575389" w:rsidRPr="00BF4EF4" w:rsidTr="00A05AF2">
        <w:trPr>
          <w:jc w:val="center"/>
        </w:trPr>
        <w:tc>
          <w:tcPr>
            <w:tcW w:w="2430" w:type="dxa"/>
          </w:tcPr>
          <w:p w:rsidR="00575389" w:rsidRPr="00BF4EF4" w:rsidRDefault="00575389" w:rsidP="00A05AF2">
            <w:pPr>
              <w:rPr>
                <w:sz w:val="16"/>
                <w:szCs w:val="16"/>
              </w:rPr>
            </w:pPr>
            <w:r w:rsidRPr="00BF4EF4">
              <w:rPr>
                <w:noProof/>
                <w:sz w:val="16"/>
                <w:szCs w:val="16"/>
                <w:lang w:eastAsia="lv-LV"/>
              </w:rPr>
              <w:drawing>
                <wp:inline distT="0" distB="0" distL="0" distR="0">
                  <wp:extent cx="1190625" cy="625321"/>
                  <wp:effectExtent l="0" t="0" r="0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538" cy="624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7" w:type="dxa"/>
          </w:tcPr>
          <w:p w:rsidR="00575389" w:rsidRPr="00BF4EF4" w:rsidRDefault="00575389" w:rsidP="00A05AF2">
            <w:pPr>
              <w:jc w:val="center"/>
              <w:rPr>
                <w:sz w:val="16"/>
                <w:szCs w:val="16"/>
              </w:rPr>
            </w:pPr>
            <w:r w:rsidRPr="00BF4EF4">
              <w:rPr>
                <w:sz w:val="16"/>
                <w:szCs w:val="16"/>
              </w:rPr>
              <w:t>ES Mūžizglītības programmas</w:t>
            </w:r>
          </w:p>
          <w:p w:rsidR="00575389" w:rsidRPr="00BF4EF4" w:rsidRDefault="00575389" w:rsidP="00A05AF2">
            <w:pPr>
              <w:jc w:val="center"/>
              <w:rPr>
                <w:sz w:val="16"/>
                <w:szCs w:val="16"/>
              </w:rPr>
            </w:pPr>
            <w:proofErr w:type="spellStart"/>
            <w:r w:rsidRPr="00BF4EF4">
              <w:rPr>
                <w:sz w:val="16"/>
                <w:szCs w:val="16"/>
              </w:rPr>
              <w:t>Comenius</w:t>
            </w:r>
            <w:proofErr w:type="spellEnd"/>
            <w:r w:rsidRPr="00BF4EF4">
              <w:rPr>
                <w:sz w:val="16"/>
                <w:szCs w:val="16"/>
              </w:rPr>
              <w:t xml:space="preserve"> apakšprogrammas</w:t>
            </w:r>
          </w:p>
          <w:p w:rsidR="00575389" w:rsidRPr="00BF4EF4" w:rsidRDefault="00575389" w:rsidP="00A05AF2">
            <w:pPr>
              <w:jc w:val="center"/>
              <w:rPr>
                <w:sz w:val="16"/>
                <w:szCs w:val="16"/>
              </w:rPr>
            </w:pPr>
            <w:r w:rsidRPr="00BF4EF4">
              <w:rPr>
                <w:sz w:val="16"/>
                <w:szCs w:val="16"/>
              </w:rPr>
              <w:t>Divpusējās partnerības projekts</w:t>
            </w:r>
          </w:p>
          <w:p w:rsidR="00575389" w:rsidRPr="00BF4EF4" w:rsidRDefault="00575389" w:rsidP="00A05AF2">
            <w:pPr>
              <w:jc w:val="center"/>
              <w:rPr>
                <w:sz w:val="16"/>
                <w:szCs w:val="16"/>
              </w:rPr>
            </w:pPr>
            <w:r w:rsidRPr="00BF4EF4">
              <w:rPr>
                <w:sz w:val="16"/>
                <w:szCs w:val="16"/>
              </w:rPr>
              <w:t>„Studēt vai strādāt? Palikt vai aizbraukt?”</w:t>
            </w:r>
          </w:p>
          <w:p w:rsidR="00575389" w:rsidRPr="00BF4EF4" w:rsidRDefault="00575389" w:rsidP="00A05AF2">
            <w:pPr>
              <w:jc w:val="center"/>
              <w:rPr>
                <w:sz w:val="16"/>
                <w:szCs w:val="16"/>
              </w:rPr>
            </w:pPr>
            <w:r w:rsidRPr="00BF4EF4">
              <w:rPr>
                <w:sz w:val="16"/>
                <w:szCs w:val="16"/>
              </w:rPr>
              <w:t>Līguma nr. 2012-1-LV1-COM07-03497 1</w:t>
            </w:r>
          </w:p>
        </w:tc>
        <w:tc>
          <w:tcPr>
            <w:tcW w:w="2340" w:type="dxa"/>
          </w:tcPr>
          <w:p w:rsidR="00575389" w:rsidRPr="00BF4EF4" w:rsidRDefault="00575389" w:rsidP="00A05AF2">
            <w:pPr>
              <w:rPr>
                <w:sz w:val="16"/>
                <w:szCs w:val="16"/>
              </w:rPr>
            </w:pPr>
            <w:r w:rsidRPr="00BF4EF4">
              <w:rPr>
                <w:noProof/>
                <w:sz w:val="16"/>
                <w:szCs w:val="16"/>
                <w:lang w:eastAsia="lv-LV"/>
              </w:rPr>
              <w:drawing>
                <wp:inline distT="0" distB="0" distL="0" distR="0">
                  <wp:extent cx="1290447" cy="476250"/>
                  <wp:effectExtent l="0" t="0" r="508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682" cy="47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</w:tcPr>
          <w:p w:rsidR="00575389" w:rsidRPr="00BF4EF4" w:rsidRDefault="00575389" w:rsidP="00A05AF2">
            <w:pPr>
              <w:jc w:val="center"/>
              <w:rPr>
                <w:sz w:val="16"/>
                <w:szCs w:val="16"/>
              </w:rPr>
            </w:pPr>
            <w:r w:rsidRPr="00BF4EF4">
              <w:rPr>
                <w:noProof/>
                <w:sz w:val="16"/>
                <w:szCs w:val="16"/>
                <w:lang w:eastAsia="lv-LV"/>
              </w:rPr>
              <w:drawing>
                <wp:inline distT="0" distB="0" distL="0" distR="0">
                  <wp:extent cx="1082675" cy="718457"/>
                  <wp:effectExtent l="0" t="0" r="3175" b="5715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718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389" w:rsidRDefault="00575389"/>
    <w:p w:rsidR="00694E91" w:rsidRDefault="0033611E">
      <w:hyperlink r:id="rId7" w:history="1">
        <w:r w:rsidR="00694E91" w:rsidRPr="00956D38">
          <w:rPr>
            <w:rStyle w:val="Hyperlink"/>
          </w:rPr>
          <w:t>http://www.zz.lv/portals/vietejas/raksts.html?xml_id=41012</w:t>
        </w:r>
      </w:hyperlink>
    </w:p>
    <w:p w:rsidR="00694E91" w:rsidRPr="00694E91" w:rsidRDefault="00694E91" w:rsidP="00694E91">
      <w:pPr>
        <w:spacing w:after="0" w:line="240" w:lineRule="auto"/>
        <w:outlineLvl w:val="0"/>
        <w:rPr>
          <w:rFonts w:ascii="Tahoma" w:eastAsia="Times New Roman" w:hAnsi="Tahoma" w:cs="Tahoma"/>
          <w:color w:val="272727"/>
          <w:kern w:val="36"/>
          <w:sz w:val="27"/>
          <w:szCs w:val="27"/>
          <w:lang w:eastAsia="lv-LV"/>
        </w:rPr>
      </w:pPr>
      <w:r w:rsidRPr="00694E91">
        <w:rPr>
          <w:rFonts w:ascii="Tahoma" w:eastAsia="Times New Roman" w:hAnsi="Tahoma" w:cs="Tahoma"/>
          <w:color w:val="272727"/>
          <w:kern w:val="36"/>
          <w:sz w:val="27"/>
          <w:szCs w:val="27"/>
          <w:lang w:eastAsia="lv-LV"/>
        </w:rPr>
        <w:t xml:space="preserve">Jelgavas 4.vidusskolas skolēniem skaidro, kā kļūt par uzņēmēju </w:t>
      </w:r>
    </w:p>
    <w:p w:rsidR="00694E91" w:rsidRPr="00694E91" w:rsidRDefault="00575389" w:rsidP="00694E91">
      <w:pPr>
        <w:spacing w:line="240" w:lineRule="auto"/>
        <w:rPr>
          <w:rFonts w:ascii="Tahoma" w:eastAsia="Times New Roman" w:hAnsi="Tahoma" w:cs="Tahoma"/>
          <w:b/>
          <w:bCs/>
          <w:color w:val="9B9B9B"/>
          <w:sz w:val="17"/>
          <w:szCs w:val="17"/>
          <w:lang w:eastAsia="lv-LV"/>
        </w:rPr>
      </w:pPr>
      <w:hyperlink w:history="1">
        <w:r w:rsidRPr="00B565DF">
          <w:rPr>
            <w:rStyle w:val="Hyperlink"/>
            <w:rFonts w:ascii="Tahoma" w:eastAsia="Times New Roman" w:hAnsi="Tahoma" w:cs="Tahoma"/>
            <w:b/>
            <w:bCs/>
            <w:sz w:val="17"/>
            <w:szCs w:val="17"/>
            <w:lang w:eastAsia="lv-LV"/>
          </w:rPr>
          <w:t xml:space="preserve"> www.zz.lv</w:t>
        </w:r>
      </w:hyperlink>
      <w:r w:rsidR="00694E91" w:rsidRPr="00694E91">
        <w:rPr>
          <w:rFonts w:ascii="Tahoma" w:eastAsia="Times New Roman" w:hAnsi="Tahoma" w:cs="Tahoma"/>
          <w:b/>
          <w:bCs/>
          <w:color w:val="9B9B9B"/>
          <w:sz w:val="17"/>
          <w:szCs w:val="17"/>
          <w:lang w:eastAsia="lv-LV"/>
        </w:rPr>
        <w:t xml:space="preserve"> 25.09.2012. </w:t>
      </w:r>
    </w:p>
    <w:p w:rsidR="00694E91" w:rsidRPr="00694E91" w:rsidRDefault="00694E91" w:rsidP="00694E91">
      <w:pPr>
        <w:spacing w:after="0" w:line="240" w:lineRule="auto"/>
        <w:rPr>
          <w:rFonts w:ascii="Tahoma" w:eastAsia="Times New Roman" w:hAnsi="Tahoma" w:cs="Tahoma"/>
          <w:b/>
          <w:bCs/>
          <w:color w:val="3C3C3C"/>
          <w:sz w:val="20"/>
          <w:szCs w:val="20"/>
          <w:lang w:eastAsia="lv-LV"/>
        </w:rPr>
      </w:pPr>
      <w:r w:rsidRPr="00694E91">
        <w:rPr>
          <w:rFonts w:ascii="Tahoma" w:eastAsia="Times New Roman" w:hAnsi="Tahoma" w:cs="Tahoma"/>
          <w:b/>
          <w:bCs/>
          <w:color w:val="3C3C3C"/>
          <w:sz w:val="20"/>
          <w:szCs w:val="20"/>
          <w:lang w:eastAsia="lv-LV"/>
        </w:rPr>
        <w:t>Pieaicinot zinošus nozares ekspertus no LLU un dažādiem uzņēmumiem, šodien Jelgavas 4.vidusskolā sācies LLU Mūžizglītības centra organizētais lekciju cikls «No skolēna par uzņēmēju».</w:t>
      </w:r>
    </w:p>
    <w:p w:rsidR="00694E91" w:rsidRPr="00694E91" w:rsidRDefault="00694E91" w:rsidP="00575389">
      <w:pPr>
        <w:shd w:val="clear" w:color="auto" w:fill="ECEDF0"/>
        <w:spacing w:after="0" w:line="240" w:lineRule="auto"/>
        <w:jc w:val="center"/>
        <w:rPr>
          <w:rFonts w:ascii="Arial" w:eastAsia="Times New Roman" w:hAnsi="Arial" w:cs="Arial"/>
          <w:color w:val="272727"/>
          <w:sz w:val="21"/>
          <w:szCs w:val="21"/>
          <w:lang w:eastAsia="lv-LV"/>
        </w:rPr>
      </w:pPr>
      <w:r w:rsidRPr="00694E91">
        <w:rPr>
          <w:rFonts w:ascii="Tahoma" w:eastAsia="Times New Roman" w:hAnsi="Tahoma" w:cs="Tahoma"/>
          <w:b/>
          <w:bCs/>
          <w:noProof/>
          <w:color w:val="336699"/>
          <w:sz w:val="17"/>
          <w:szCs w:val="17"/>
          <w:lang w:eastAsia="lv-LV"/>
        </w:rPr>
        <w:drawing>
          <wp:inline distT="0" distB="0" distL="0" distR="0">
            <wp:extent cx="2857500" cy="1905000"/>
            <wp:effectExtent l="0" t="0" r="0" b="0"/>
            <wp:docPr id="1" name="Picture 1" descr="http://www.zz.lv/resources/news/300x200/20120925212433-IMG_7258p_apmacibas_stunda_skoleni_4vsk_25091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z.lv/resources/news/300x200/20120925212433-IMG_7258p_apmacibas_stunda_skoleni_4vsk_25091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5389" w:rsidRPr="00694E91">
        <w:rPr>
          <w:rFonts w:ascii="Arial" w:eastAsia="Times New Roman" w:hAnsi="Arial" w:cs="Arial"/>
          <w:noProof/>
          <w:color w:val="272727"/>
          <w:sz w:val="21"/>
          <w:szCs w:val="21"/>
          <w:lang w:eastAsia="lv-LV"/>
        </w:rPr>
        <w:drawing>
          <wp:inline distT="0" distB="0" distL="0" distR="0">
            <wp:extent cx="2886075" cy="1910582"/>
            <wp:effectExtent l="0" t="0" r="0" b="0"/>
            <wp:docPr id="7" name="Picture 4" descr="http://www.zz.lv/resources/news/500x331x331x500/20120925212433-IMG_7260p_apmacibas_stunda_skoleni_4vsk_25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large" descr="http://www.zz.lv/resources/news/500x331x331x500/20120925212433-IMG_7260p_apmacibas_stunda_skoleni_4vsk_2509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1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E91">
        <w:rPr>
          <w:rFonts w:ascii="Arial" w:eastAsia="Times New Roman" w:hAnsi="Arial" w:cs="Arial"/>
          <w:noProof/>
          <w:color w:val="272727"/>
          <w:sz w:val="21"/>
          <w:szCs w:val="21"/>
          <w:lang w:eastAsia="lv-LV"/>
        </w:rPr>
        <w:drawing>
          <wp:inline distT="0" distB="0" distL="0" distR="0">
            <wp:extent cx="2857500" cy="1891666"/>
            <wp:effectExtent l="0" t="0" r="0" b="0"/>
            <wp:docPr id="3" name="Picture 3" descr="http://www.zz.lv/resources/news/500x331x331x500/20120925212434-IMG_7279p_apmacibas_stunda_skoleni_4vsk_25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large" descr="http://www.zz.lv/resources/news/500x331x331x500/20120925212434-IMG_7279p_apmacibas_stunda_skoleni_4vsk_2509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957" cy="189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E91">
        <w:rPr>
          <w:rFonts w:ascii="Arial" w:eastAsia="Times New Roman" w:hAnsi="Arial" w:cs="Arial"/>
          <w:color w:val="272727"/>
          <w:sz w:val="21"/>
          <w:szCs w:val="21"/>
          <w:lang w:eastAsia="lv-LV"/>
        </w:rPr>
        <w:br/>
      </w:r>
    </w:p>
    <w:p w:rsidR="00694E91" w:rsidRPr="00694E91" w:rsidRDefault="00694E91" w:rsidP="00694E91">
      <w:pPr>
        <w:spacing w:after="75" w:line="240" w:lineRule="auto"/>
        <w:rPr>
          <w:rFonts w:ascii="Tahoma" w:eastAsia="Times New Roman" w:hAnsi="Tahoma" w:cs="Tahoma"/>
          <w:color w:val="272727"/>
          <w:sz w:val="20"/>
          <w:szCs w:val="20"/>
          <w:lang w:eastAsia="lv-LV"/>
        </w:rPr>
      </w:pPr>
      <w:r w:rsidRPr="00694E91">
        <w:rPr>
          <w:rFonts w:ascii="Tahoma" w:eastAsia="Times New Roman" w:hAnsi="Tahoma" w:cs="Tahoma"/>
          <w:color w:val="272727"/>
          <w:sz w:val="20"/>
          <w:szCs w:val="20"/>
          <w:lang w:eastAsia="lv-LV"/>
        </w:rPr>
        <w:t xml:space="preserve">Četrās lekcijās līdz novembra sākumam skolēni uzzinās par uzņēmējdarbības pamatiem, komandas veidošanas lomu, biznesa plānošanu un </w:t>
      </w:r>
      <w:r w:rsidRPr="00694E91">
        <w:rPr>
          <w:rFonts w:ascii="Tahoma" w:eastAsia="Times New Roman" w:hAnsi="Tahoma" w:cs="Tahoma"/>
          <w:color w:val="FF0000"/>
          <w:sz w:val="20"/>
          <w:szCs w:val="20"/>
          <w:u w:val="single"/>
          <w:lang w:eastAsia="lv-LV"/>
        </w:rPr>
        <w:t>finanšu</w:t>
      </w:r>
      <w:r w:rsidRPr="00694E91">
        <w:rPr>
          <w:rFonts w:ascii="Tahoma" w:eastAsia="Times New Roman" w:hAnsi="Tahoma" w:cs="Tahoma"/>
          <w:color w:val="272727"/>
          <w:sz w:val="20"/>
          <w:szCs w:val="20"/>
          <w:lang w:eastAsia="lv-LV"/>
        </w:rPr>
        <w:t xml:space="preserve"> piesaistes iespējām, kā arī mārketinga nozīmi uzņēmējdarbībā, informē LLU.</w:t>
      </w:r>
      <w:r>
        <w:rPr>
          <w:rFonts w:ascii="Arial" w:eastAsia="Times New Roman" w:hAnsi="Arial" w:cs="Arial"/>
          <w:color w:val="272727"/>
          <w:sz w:val="21"/>
          <w:szCs w:val="21"/>
          <w:lang w:eastAsia="lv-LV"/>
        </w:rPr>
        <w:br/>
      </w:r>
      <w:r w:rsidRPr="00694E91">
        <w:rPr>
          <w:rFonts w:ascii="Tahoma" w:eastAsia="Times New Roman" w:hAnsi="Tahoma" w:cs="Tahoma"/>
          <w:color w:val="272727"/>
          <w:sz w:val="20"/>
          <w:szCs w:val="20"/>
          <w:lang w:eastAsia="lv-LV"/>
        </w:rPr>
        <w:t xml:space="preserve">«Jaunieši aizvien vairāk interesējas par iespējām attīstīt savas idejas un veidot uzņēmumus, ko pierāda arī dalībnieku skaits – teju 40 interesenti no dažām vidusskolas klasēm,» atklāj projekta koordinatore, LLU Mūžizglītības centra konsultante Antra Bērziņa. Viņa uzsver, ka </w:t>
      </w:r>
      <w:r w:rsidRPr="00694E91">
        <w:rPr>
          <w:rFonts w:ascii="Tahoma" w:eastAsia="Times New Roman" w:hAnsi="Tahoma" w:cs="Tahoma"/>
          <w:color w:val="272727"/>
          <w:sz w:val="20"/>
          <w:szCs w:val="20"/>
          <w:lang w:eastAsia="lv-LV"/>
        </w:rPr>
        <w:lastRenderedPageBreak/>
        <w:t>šajās lekcijās speciālisti dalīsies pieredzē, cenšoties raisīt interesi par uzņēmējdarbību un veicinot kreatīvo domāšanu jaunu biznesa ideju radīšanai.</w:t>
      </w:r>
      <w:r>
        <w:rPr>
          <w:rFonts w:ascii="Arial" w:eastAsia="Times New Roman" w:hAnsi="Arial" w:cs="Arial"/>
          <w:color w:val="272727"/>
          <w:sz w:val="21"/>
          <w:szCs w:val="21"/>
          <w:lang w:eastAsia="lv-LV"/>
        </w:rPr>
        <w:br/>
      </w:r>
      <w:r w:rsidRPr="00694E91">
        <w:rPr>
          <w:rFonts w:ascii="Tahoma" w:eastAsia="Times New Roman" w:hAnsi="Tahoma" w:cs="Tahoma"/>
          <w:color w:val="272727"/>
          <w:sz w:val="20"/>
          <w:szCs w:val="20"/>
          <w:lang w:eastAsia="lv-LV"/>
        </w:rPr>
        <w:t>Lekciju ciklu vadīs LLU un Rīgas Tehniskās universitātes profesors, SIA «</w:t>
      </w:r>
      <w:proofErr w:type="spellStart"/>
      <w:r w:rsidRPr="00694E91">
        <w:rPr>
          <w:rFonts w:ascii="Tahoma" w:eastAsia="Times New Roman" w:hAnsi="Tahoma" w:cs="Tahoma"/>
          <w:color w:val="272727"/>
          <w:sz w:val="20"/>
          <w:szCs w:val="20"/>
          <w:lang w:eastAsia="lv-LV"/>
        </w:rPr>
        <w:t>Lafinents</w:t>
      </w:r>
      <w:proofErr w:type="spellEnd"/>
      <w:r w:rsidRPr="00694E91">
        <w:rPr>
          <w:rFonts w:ascii="Tahoma" w:eastAsia="Times New Roman" w:hAnsi="Tahoma" w:cs="Tahoma"/>
          <w:color w:val="272727"/>
          <w:sz w:val="20"/>
          <w:szCs w:val="20"/>
          <w:lang w:eastAsia="lv-LV"/>
        </w:rPr>
        <w:t xml:space="preserve">» valdes priekšsēdētājs Arturs </w:t>
      </w:r>
      <w:proofErr w:type="spellStart"/>
      <w:r w:rsidRPr="00694E91">
        <w:rPr>
          <w:rFonts w:ascii="Tahoma" w:eastAsia="Times New Roman" w:hAnsi="Tahoma" w:cs="Tahoma"/>
          <w:color w:val="272727"/>
          <w:sz w:val="20"/>
          <w:szCs w:val="20"/>
          <w:lang w:eastAsia="lv-LV"/>
        </w:rPr>
        <w:t>Lešinskis</w:t>
      </w:r>
      <w:proofErr w:type="spellEnd"/>
      <w:r w:rsidRPr="00694E91">
        <w:rPr>
          <w:rFonts w:ascii="Tahoma" w:eastAsia="Times New Roman" w:hAnsi="Tahoma" w:cs="Tahoma"/>
          <w:color w:val="272727"/>
          <w:sz w:val="20"/>
          <w:szCs w:val="20"/>
          <w:lang w:eastAsia="lv-LV"/>
        </w:rPr>
        <w:t xml:space="preserve">, zemnieku saimniecības «Meistari» pārvaldniece Tamāra </w:t>
      </w:r>
      <w:proofErr w:type="spellStart"/>
      <w:r w:rsidRPr="00694E91">
        <w:rPr>
          <w:rFonts w:ascii="Tahoma" w:eastAsia="Times New Roman" w:hAnsi="Tahoma" w:cs="Tahoma"/>
          <w:color w:val="272727"/>
          <w:sz w:val="20"/>
          <w:szCs w:val="20"/>
          <w:lang w:eastAsia="lv-LV"/>
        </w:rPr>
        <w:t>Bisniece</w:t>
      </w:r>
      <w:proofErr w:type="spellEnd"/>
      <w:r w:rsidRPr="00694E91">
        <w:rPr>
          <w:rFonts w:ascii="Tahoma" w:eastAsia="Times New Roman" w:hAnsi="Tahoma" w:cs="Tahoma"/>
          <w:color w:val="272727"/>
          <w:sz w:val="20"/>
          <w:szCs w:val="20"/>
          <w:lang w:eastAsia="lv-LV"/>
        </w:rPr>
        <w:t>, SIA «</w:t>
      </w:r>
      <w:proofErr w:type="spellStart"/>
      <w:r w:rsidRPr="00694E91">
        <w:rPr>
          <w:rFonts w:ascii="Tahoma" w:eastAsia="Times New Roman" w:hAnsi="Tahoma" w:cs="Tahoma"/>
          <w:color w:val="272727"/>
          <w:sz w:val="20"/>
          <w:szCs w:val="20"/>
          <w:lang w:eastAsia="lv-LV"/>
        </w:rPr>
        <w:t>Signum</w:t>
      </w:r>
      <w:proofErr w:type="spellEnd"/>
      <w:r w:rsidRPr="00694E91">
        <w:rPr>
          <w:rFonts w:ascii="Tahoma" w:eastAsia="Times New Roman" w:hAnsi="Tahoma" w:cs="Tahoma"/>
          <w:color w:val="272727"/>
          <w:sz w:val="20"/>
          <w:szCs w:val="20"/>
          <w:lang w:eastAsia="lv-LV"/>
        </w:rPr>
        <w:t xml:space="preserve">» valdes priekšsēdētājs Vitālijs </w:t>
      </w:r>
      <w:proofErr w:type="spellStart"/>
      <w:r w:rsidRPr="00694E91">
        <w:rPr>
          <w:rFonts w:ascii="Tahoma" w:eastAsia="Times New Roman" w:hAnsi="Tahoma" w:cs="Tahoma"/>
          <w:color w:val="272727"/>
          <w:sz w:val="20"/>
          <w:szCs w:val="20"/>
          <w:lang w:eastAsia="lv-LV"/>
        </w:rPr>
        <w:t>Upenieks</w:t>
      </w:r>
      <w:proofErr w:type="spellEnd"/>
      <w:r w:rsidRPr="00694E91">
        <w:rPr>
          <w:rFonts w:ascii="Tahoma" w:eastAsia="Times New Roman" w:hAnsi="Tahoma" w:cs="Tahoma"/>
          <w:color w:val="272727"/>
          <w:sz w:val="20"/>
          <w:szCs w:val="20"/>
          <w:lang w:eastAsia="lv-LV"/>
        </w:rPr>
        <w:t xml:space="preserve"> un LLU Ekonomikas fakultātes dekāne </w:t>
      </w:r>
      <w:proofErr w:type="spellStart"/>
      <w:r w:rsidRPr="00694E91">
        <w:rPr>
          <w:rFonts w:ascii="Tahoma" w:eastAsia="Times New Roman" w:hAnsi="Tahoma" w:cs="Tahoma"/>
          <w:color w:val="272727"/>
          <w:sz w:val="20"/>
          <w:szCs w:val="20"/>
          <w:lang w:eastAsia="lv-LV"/>
        </w:rPr>
        <w:t>Irina</w:t>
      </w:r>
      <w:proofErr w:type="spellEnd"/>
      <w:r w:rsidRPr="00694E91">
        <w:rPr>
          <w:rFonts w:ascii="Tahoma" w:eastAsia="Times New Roman" w:hAnsi="Tahoma" w:cs="Tahoma"/>
          <w:color w:val="272727"/>
          <w:sz w:val="20"/>
          <w:szCs w:val="20"/>
          <w:lang w:eastAsia="lv-LV"/>
        </w:rPr>
        <w:t xml:space="preserve"> </w:t>
      </w:r>
      <w:proofErr w:type="spellStart"/>
      <w:r w:rsidRPr="00694E91">
        <w:rPr>
          <w:rFonts w:ascii="Tahoma" w:eastAsia="Times New Roman" w:hAnsi="Tahoma" w:cs="Tahoma"/>
          <w:color w:val="272727"/>
          <w:sz w:val="20"/>
          <w:szCs w:val="20"/>
          <w:lang w:eastAsia="lv-LV"/>
        </w:rPr>
        <w:t>Pilvere</w:t>
      </w:r>
      <w:proofErr w:type="spellEnd"/>
      <w:r w:rsidRPr="00694E91">
        <w:rPr>
          <w:rFonts w:ascii="Tahoma" w:eastAsia="Times New Roman" w:hAnsi="Tahoma" w:cs="Tahoma"/>
          <w:color w:val="272727"/>
          <w:sz w:val="20"/>
          <w:szCs w:val="20"/>
          <w:lang w:eastAsia="lv-LV"/>
        </w:rPr>
        <w:t>.</w:t>
      </w:r>
      <w:bookmarkStart w:id="0" w:name="_GoBack"/>
      <w:bookmarkEnd w:id="0"/>
    </w:p>
    <w:sectPr w:rsidR="00694E91" w:rsidRPr="00694E91" w:rsidSect="00694E91">
      <w:pgSz w:w="11906" w:h="16838"/>
      <w:pgMar w:top="14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4E91"/>
    <w:rsid w:val="0033611E"/>
    <w:rsid w:val="00575389"/>
    <w:rsid w:val="00694E91"/>
    <w:rsid w:val="0090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1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E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5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4E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399">
              <w:marLeft w:val="150"/>
              <w:marRight w:val="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3232">
                  <w:marLeft w:val="0"/>
                  <w:marRight w:val="0"/>
                  <w:marTop w:val="3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8604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C3C3C3"/>
                    <w:right w:val="none" w:sz="0" w:space="0" w:color="auto"/>
                  </w:divBdr>
                </w:div>
                <w:div w:id="1179351282">
                  <w:marLeft w:val="15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41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.lv/news/media.html?xml_id=41012&amp;m_type=photo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z.lv/portals/vietejas/raksts.html?xml_id=4101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jpeg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987</Words>
  <Characters>563</Characters>
  <Application>Microsoft Office Word</Application>
  <DocSecurity>0</DocSecurity>
  <Lines>4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Ingrīda Drēska</dc:creator>
  <cp:lastModifiedBy>User</cp:lastModifiedBy>
  <cp:revision>2</cp:revision>
  <dcterms:created xsi:type="dcterms:W3CDTF">2012-09-26T17:17:00Z</dcterms:created>
  <dcterms:modified xsi:type="dcterms:W3CDTF">2014-08-28T18:37:00Z</dcterms:modified>
</cp:coreProperties>
</file>